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38959112"/>
        <w:docPartObj>
          <w:docPartGallery w:val="Cover Pages"/>
          <w:docPartUnique/>
        </w:docPartObj>
      </w:sdtPr>
      <w:sdtEndPr/>
      <w:sdtContent>
        <w:p w14:paraId="4774C138" w14:textId="77777777" w:rsidR="006E60D5" w:rsidRDefault="006E60D5" w:rsidP="006E60D5">
          <w:pPr>
            <w:jc w:val="center"/>
          </w:pPr>
          <w:r>
            <w:rPr>
              <w:noProof/>
            </w:rPr>
            <w:drawing>
              <wp:inline distT="0" distB="0" distL="0" distR="0" wp14:anchorId="55C9B294" wp14:editId="16B80033">
                <wp:extent cx="1581150" cy="1675920"/>
                <wp:effectExtent l="0" t="0" r="0" b="63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67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255FAD" w14:textId="77777777" w:rsidR="006E60D5" w:rsidRDefault="006E60D5" w:rsidP="006E60D5">
          <w:pPr>
            <w:spacing w:after="0"/>
            <w:jc w:val="center"/>
            <w:rPr>
              <w:b/>
              <w:bCs/>
              <w:sz w:val="32"/>
              <w:szCs w:val="32"/>
            </w:rPr>
          </w:pPr>
          <w:r w:rsidRPr="01C67DC0">
            <w:rPr>
              <w:b/>
              <w:bCs/>
              <w:sz w:val="32"/>
              <w:szCs w:val="32"/>
            </w:rPr>
            <w:t>Mount Healthy Police Department</w:t>
          </w:r>
        </w:p>
        <w:p w14:paraId="65D463FC" w14:textId="3679D762" w:rsidR="006E60D5" w:rsidRDefault="00DD5BB3" w:rsidP="006E60D5">
          <w:pPr>
            <w:spacing w:after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November</w:t>
          </w:r>
          <w:r w:rsidR="006D310B">
            <w:rPr>
              <w:b/>
              <w:bCs/>
              <w:sz w:val="32"/>
              <w:szCs w:val="32"/>
            </w:rPr>
            <w:t xml:space="preserve"> </w:t>
          </w:r>
          <w:r w:rsidR="006E60D5" w:rsidRPr="01C67DC0">
            <w:rPr>
              <w:b/>
              <w:bCs/>
              <w:sz w:val="32"/>
              <w:szCs w:val="32"/>
            </w:rPr>
            <w:t>2023</w:t>
          </w:r>
        </w:p>
        <w:p w14:paraId="20C487B0" w14:textId="064DC9EB" w:rsidR="006E60D5" w:rsidRDefault="006E60D5" w:rsidP="006A405A">
          <w:pPr>
            <w:spacing w:after="0"/>
            <w:jc w:val="center"/>
            <w:rPr>
              <w:b/>
              <w:bCs/>
              <w:sz w:val="32"/>
              <w:szCs w:val="32"/>
            </w:rPr>
          </w:pPr>
          <w:r w:rsidRPr="01C67DC0">
            <w:rPr>
              <w:b/>
              <w:bCs/>
              <w:sz w:val="32"/>
              <w:szCs w:val="32"/>
            </w:rPr>
            <w:t>Report to the City Manager</w:t>
          </w:r>
        </w:p>
        <w:p w14:paraId="70D75D58" w14:textId="77777777" w:rsidR="006A405A" w:rsidRDefault="006A405A" w:rsidP="006A405A">
          <w:pPr>
            <w:spacing w:after="0"/>
            <w:jc w:val="center"/>
            <w:rPr>
              <w:b/>
              <w:bCs/>
              <w:sz w:val="32"/>
              <w:szCs w:val="32"/>
            </w:rPr>
          </w:pPr>
        </w:p>
        <w:p w14:paraId="2E962336" w14:textId="77777777" w:rsidR="006E60D5" w:rsidRDefault="006E60D5" w:rsidP="006E60D5">
          <w:pPr>
            <w:pStyle w:val="ListParagraph"/>
            <w:numPr>
              <w:ilvl w:val="0"/>
              <w:numId w:val="8"/>
            </w:numPr>
            <w:rPr>
              <w:b/>
              <w:bCs/>
              <w:sz w:val="32"/>
              <w:szCs w:val="32"/>
            </w:rPr>
          </w:pPr>
          <w:r w:rsidRPr="01C67DC0">
            <w:rPr>
              <w:b/>
              <w:bCs/>
              <w:sz w:val="32"/>
              <w:szCs w:val="32"/>
            </w:rPr>
            <w:t>Chief’s Report</w:t>
          </w:r>
        </w:p>
        <w:p w14:paraId="50D191E7" w14:textId="77777777" w:rsidR="006E60D5" w:rsidRDefault="006E60D5" w:rsidP="006E60D5">
          <w:pPr>
            <w:pStyle w:val="ListParagraph"/>
            <w:numPr>
              <w:ilvl w:val="0"/>
              <w:numId w:val="8"/>
            </w:numPr>
            <w:rPr>
              <w:b/>
              <w:bCs/>
              <w:sz w:val="32"/>
              <w:szCs w:val="32"/>
            </w:rPr>
          </w:pPr>
          <w:r w:rsidRPr="01C67DC0">
            <w:rPr>
              <w:b/>
              <w:bCs/>
              <w:sz w:val="32"/>
              <w:szCs w:val="32"/>
            </w:rPr>
            <w:t>Council Report</w:t>
          </w:r>
        </w:p>
        <w:p w14:paraId="12D7291B" w14:textId="77777777" w:rsidR="006E60D5" w:rsidRDefault="006E60D5" w:rsidP="006E60D5">
          <w:pPr>
            <w:pStyle w:val="ListParagraph"/>
            <w:numPr>
              <w:ilvl w:val="0"/>
              <w:numId w:val="8"/>
            </w:numPr>
            <w:rPr>
              <w:b/>
              <w:bCs/>
              <w:sz w:val="32"/>
              <w:szCs w:val="32"/>
            </w:rPr>
          </w:pPr>
          <w:r w:rsidRPr="01C67DC0">
            <w:rPr>
              <w:b/>
              <w:bCs/>
              <w:sz w:val="32"/>
              <w:szCs w:val="32"/>
            </w:rPr>
            <w:t>Crime Trends</w:t>
          </w:r>
        </w:p>
        <w:p w14:paraId="5C4FB06C" w14:textId="5C86FE58" w:rsidR="4E93F8F9" w:rsidRPr="006A405A" w:rsidRDefault="006E60D5" w:rsidP="6346125F">
          <w:pPr>
            <w:pStyle w:val="ListParagraph"/>
            <w:numPr>
              <w:ilvl w:val="0"/>
              <w:numId w:val="8"/>
            </w:numPr>
            <w:rPr>
              <w:b/>
              <w:bCs/>
              <w:sz w:val="32"/>
              <w:szCs w:val="32"/>
            </w:rPr>
          </w:pPr>
          <w:r w:rsidRPr="4E93F8F9">
            <w:rPr>
              <w:b/>
              <w:bCs/>
              <w:sz w:val="32"/>
              <w:szCs w:val="32"/>
            </w:rPr>
            <w:t>Liquor Establishments/Apartments</w:t>
          </w:r>
        </w:p>
      </w:sdtContent>
    </w:sdt>
    <w:p w14:paraId="69FC52CB" w14:textId="2ACE4B33" w:rsidR="4562F8BF" w:rsidRDefault="7BCEE0D2">
      <w:r>
        <w:lastRenderedPageBreak/>
        <w:t>Chief’s Report</w:t>
      </w:r>
    </w:p>
    <w:p w14:paraId="228869FB" w14:textId="2F78082D" w:rsidR="1064397E" w:rsidRDefault="1064397E" w:rsidP="6346125F">
      <w:r>
        <w:t>With the</w:t>
      </w:r>
      <w:r w:rsidR="4926BA6D">
        <w:t xml:space="preserve"> addition of Officer Speers</w:t>
      </w:r>
      <w:r w:rsidR="426052EF">
        <w:t>,</w:t>
      </w:r>
      <w:r w:rsidR="4926BA6D">
        <w:t xml:space="preserve"> staffing levels for the Police Department will allow us </w:t>
      </w:r>
      <w:r w:rsidR="16CACFE2">
        <w:t xml:space="preserve">to move back to a </w:t>
      </w:r>
      <w:r w:rsidR="4C29612C">
        <w:t>full-time</w:t>
      </w:r>
      <w:r w:rsidR="16CACFE2">
        <w:t xml:space="preserve"> Detective</w:t>
      </w:r>
      <w:r w:rsidR="321FC66D">
        <w:t xml:space="preserve">. </w:t>
      </w:r>
      <w:r w:rsidR="42969C23">
        <w:t xml:space="preserve">Officers with qualifications and interest were asked to submit </w:t>
      </w:r>
      <w:r w:rsidR="69268DCC">
        <w:t>information</w:t>
      </w:r>
      <w:r w:rsidR="42969C23">
        <w:t xml:space="preserve"> that demonstrates competency for the position. </w:t>
      </w:r>
      <w:r w:rsidR="3B47C682">
        <w:t>We are also implementing a formal Officer in Charge (OIC) selection process that will allow</w:t>
      </w:r>
      <w:r w:rsidR="002F2151">
        <w:t xml:space="preserve"> for</w:t>
      </w:r>
      <w:r w:rsidR="3B47C682">
        <w:t xml:space="preserve"> consistent road management w</w:t>
      </w:r>
      <w:r w:rsidR="002F2151">
        <w:t>hen</w:t>
      </w:r>
      <w:r w:rsidR="3B47C682">
        <w:t xml:space="preserve"> a Sergeant</w:t>
      </w:r>
      <w:r w:rsidR="002F2151">
        <w:t xml:space="preserve"> is not on duty</w:t>
      </w:r>
      <w:r w:rsidR="3B47C682">
        <w:t>.</w:t>
      </w:r>
      <w:r w:rsidR="3CC29A1D">
        <w:t xml:space="preserve"> These positions are expected to be filled by early 2024. </w:t>
      </w:r>
      <w:r w:rsidR="249F4459">
        <w:t xml:space="preserve"> </w:t>
      </w:r>
      <w:r w:rsidR="321FC66D">
        <w:t xml:space="preserve"> </w:t>
      </w:r>
    </w:p>
    <w:p w14:paraId="66C1791D" w14:textId="2ADE79E5" w:rsidR="61218827" w:rsidRDefault="61218827" w:rsidP="6346125F">
      <w:r>
        <w:t xml:space="preserve">After reviewing </w:t>
      </w:r>
      <w:r w:rsidR="34E1301E">
        <w:t xml:space="preserve">our </w:t>
      </w:r>
      <w:r>
        <w:t>crime statistics, it was discovered that our numbers were not accurately reported.</w:t>
      </w:r>
      <w:r w:rsidR="372F69B2">
        <w:t xml:space="preserve"> </w:t>
      </w:r>
      <w:r w:rsidR="7825BE0F">
        <w:t xml:space="preserve">How calls are dispatched are not always accurate. </w:t>
      </w:r>
      <w:r w:rsidR="609FCB01">
        <w:t>For example, a call may be dispatched as a burglary when it is a trespass or completely unfounded.</w:t>
      </w:r>
      <w:r w:rsidR="15A71CD2">
        <w:t xml:space="preserve"> This skews our crime </w:t>
      </w:r>
      <w:r w:rsidR="32A44972">
        <w:t>statistic</w:t>
      </w:r>
      <w:r w:rsidR="002F2151">
        <w:t>s</w:t>
      </w:r>
      <w:r w:rsidR="15A71CD2">
        <w:t xml:space="preserve">. Our goal in 2024 is </w:t>
      </w:r>
      <w:r w:rsidR="176D3712">
        <w:t>more</w:t>
      </w:r>
      <w:r w:rsidR="15A71CD2">
        <w:t xml:space="preserve"> con</w:t>
      </w:r>
      <w:r w:rsidR="185D526F">
        <w:t xml:space="preserve">sistent reporting </w:t>
      </w:r>
      <w:r w:rsidR="0CFCF390">
        <w:t>of</w:t>
      </w:r>
      <w:r w:rsidR="185D526F">
        <w:t xml:space="preserve"> calls for service that will accurately reflect criminal </w:t>
      </w:r>
      <w:r w:rsidR="11F6BC0B">
        <w:t xml:space="preserve">activity in the City of Mt. Healthy. </w:t>
      </w:r>
    </w:p>
    <w:p w14:paraId="5BDA514F" w14:textId="2EBDB844" w:rsidR="5CD7E8E8" w:rsidRDefault="5CD7E8E8" w:rsidP="6346125F">
      <w:r>
        <w:t xml:space="preserve">We completed the sale of two excess vehicles. The 2013 Ford Taurus and the 2008 Nissan Altima </w:t>
      </w:r>
      <w:r w:rsidR="0ECA8D66">
        <w:t xml:space="preserve">were sold through GovDeals. These vehicles were rarely in use and their </w:t>
      </w:r>
      <w:r w:rsidR="355A7F0F">
        <w:t>maintenance</w:t>
      </w:r>
      <w:r w:rsidR="0ECA8D66">
        <w:t xml:space="preserve"> costs </w:t>
      </w:r>
      <w:r w:rsidR="0D61B334">
        <w:t xml:space="preserve">outweighed their </w:t>
      </w:r>
      <w:r w:rsidR="70D3359B">
        <w:t>benefits. We</w:t>
      </w:r>
      <w:r w:rsidR="25E1FFDB">
        <w:t xml:space="preserve"> were able</w:t>
      </w:r>
      <w:r w:rsidR="70D3359B">
        <w:t xml:space="preserve"> to generate </w:t>
      </w:r>
      <w:r w:rsidR="7CDC2F76">
        <w:t>approximately</w:t>
      </w:r>
      <w:r w:rsidR="70D3359B">
        <w:t xml:space="preserve"> $5000</w:t>
      </w:r>
      <w:r w:rsidR="38DE715C">
        <w:t xml:space="preserve"> for the sales. </w:t>
      </w:r>
    </w:p>
    <w:p w14:paraId="1330185C" w14:textId="17905C48" w:rsidR="001411E6" w:rsidRDefault="38DE715C">
      <w:r>
        <w:t xml:space="preserve">Our work with the Chaplains </w:t>
      </w:r>
      <w:r w:rsidR="36E1F6C9">
        <w:t>continues</w:t>
      </w:r>
      <w:r>
        <w:t xml:space="preserve">. We will do an adopt a family project with Pastor Whaley </w:t>
      </w:r>
      <w:r w:rsidR="3E374A45">
        <w:t xml:space="preserve">and his church and have reached out to Pastor Washington for holiday needs. </w:t>
      </w:r>
    </w:p>
    <w:p w14:paraId="33346C22" w14:textId="16C79AE4" w:rsidR="52D887E8" w:rsidRDefault="52D887E8" w:rsidP="6346125F">
      <w:r>
        <w:t xml:space="preserve">Criminal activity in </w:t>
      </w:r>
      <w:r w:rsidR="7CA2E150">
        <w:t xml:space="preserve">the city </w:t>
      </w:r>
      <w:r>
        <w:t xml:space="preserve">park has drastically declined with </w:t>
      </w:r>
      <w:r w:rsidR="002F2151">
        <w:t xml:space="preserve">the </w:t>
      </w:r>
      <w:r>
        <w:t xml:space="preserve">new </w:t>
      </w:r>
      <w:r w:rsidR="3625AB25">
        <w:t xml:space="preserve">dusk to dawn </w:t>
      </w:r>
      <w:r>
        <w:t>operating hours</w:t>
      </w:r>
      <w:r w:rsidR="5C1BC638">
        <w:t xml:space="preserve">. </w:t>
      </w:r>
      <w:r>
        <w:t xml:space="preserve"> </w:t>
      </w:r>
    </w:p>
    <w:p w14:paraId="07510650" w14:textId="4240288A" w:rsidR="2903D6CE" w:rsidRDefault="2903D6CE" w:rsidP="6346125F">
      <w:r>
        <w:t xml:space="preserve">The Court Clerk and I met with the collection agency that handles our outstanding court fines. As of 2023 approximately $19,000 </w:t>
      </w:r>
      <w:r w:rsidR="0BA21194">
        <w:t xml:space="preserve">of $200,000 </w:t>
      </w:r>
      <w:r>
        <w:t xml:space="preserve">in </w:t>
      </w:r>
      <w:r w:rsidR="7976B2AB">
        <w:t xml:space="preserve">outstanding court fines were collected. </w:t>
      </w:r>
      <w:r w:rsidR="764A8406">
        <w:t xml:space="preserve">I expressed that 2024 expectations would be closer to a 20% recovery rate. </w:t>
      </w:r>
    </w:p>
    <w:p w14:paraId="3E1ED154" w14:textId="15C245BF" w:rsidR="00AA2494" w:rsidRDefault="00E52B90" w:rsidP="00E0551D">
      <w:r>
        <w:rPr>
          <w:noProof/>
        </w:rPr>
        <w:drawing>
          <wp:inline distT="0" distB="0" distL="0" distR="0" wp14:anchorId="5E12EBDE" wp14:editId="3AE76782">
            <wp:extent cx="726512" cy="745170"/>
            <wp:effectExtent l="0" t="0" r="0" b="0"/>
            <wp:docPr id="287229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12" cy="7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0551D">
        <w:t>Date:</w:t>
      </w:r>
      <w:r w:rsidR="000607CA">
        <w:t xml:space="preserve"> </w:t>
      </w:r>
      <w:r w:rsidR="00C757E8">
        <w:t>December 4</w:t>
      </w:r>
      <w:r w:rsidR="00CD5E7E">
        <w:t>, 2023</w:t>
      </w:r>
    </w:p>
    <w:p w14:paraId="3F515869" w14:textId="2ABBA3F5" w:rsidR="00E0551D" w:rsidRDefault="00E52B90" w:rsidP="00E52B90">
      <w:pPr>
        <w:ind w:firstLine="720"/>
      </w:pPr>
      <w:r>
        <w:t xml:space="preserve"> </w:t>
      </w:r>
      <w:r>
        <w:tab/>
      </w:r>
      <w:r w:rsidR="00E0551D">
        <w:t>To:</w:t>
      </w:r>
      <w:r w:rsidR="00AA2494">
        <w:t xml:space="preserve"> </w:t>
      </w:r>
      <w:r>
        <w:t>Mayor and Member</w:t>
      </w:r>
      <w:r w:rsidR="001B21A1">
        <w:t>s</w:t>
      </w:r>
      <w:r>
        <w:t xml:space="preserve"> of City Council</w:t>
      </w:r>
    </w:p>
    <w:p w14:paraId="2EB98644" w14:textId="2124C298" w:rsidR="00E0551D" w:rsidRDefault="00E0551D" w:rsidP="00E52B90">
      <w:pPr>
        <w:ind w:left="720" w:firstLine="720"/>
      </w:pPr>
      <w:r>
        <w:t>From:</w:t>
      </w:r>
      <w:r w:rsidR="00AA2494">
        <w:t xml:space="preserve"> </w:t>
      </w:r>
      <w:r w:rsidR="00E52B90">
        <w:t xml:space="preserve">Colonel Jerome Deidesheimer </w:t>
      </w:r>
    </w:p>
    <w:p w14:paraId="1E60BB8B" w14:textId="385436BF" w:rsidR="00E0551D" w:rsidRDefault="00E0551D" w:rsidP="00E52B90">
      <w:pPr>
        <w:ind w:left="720" w:firstLine="720"/>
      </w:pPr>
      <w:r>
        <w:t>Subject:</w:t>
      </w:r>
      <w:r w:rsidR="003B089C">
        <w:t xml:space="preserve"> </w:t>
      </w:r>
      <w:r w:rsidR="00E52B90">
        <w:t xml:space="preserve">Mt. Healthy Police Department- </w:t>
      </w:r>
      <w:r w:rsidR="00C757E8">
        <w:t>November</w:t>
      </w:r>
      <w:r w:rsidR="00E52B90">
        <w:t xml:space="preserve"> 2023 Council Report</w:t>
      </w:r>
      <w:r>
        <w:tab/>
      </w:r>
      <w:r>
        <w:tab/>
      </w:r>
    </w:p>
    <w:p w14:paraId="00077900" w14:textId="2B044CFD" w:rsidR="00E0551D" w:rsidRDefault="00B16F7F" w:rsidP="009A67C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CF32" wp14:editId="65AAC62C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162675" cy="190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93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4.05pt;margin-top:10pt;width:485.25pt;height:1.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">
                <w10:wrap anchorx="margin"/>
              </v:shape>
            </w:pict>
          </mc:Fallback>
        </mc:AlternateContent>
      </w:r>
    </w:p>
    <w:p w14:paraId="620A1C2F" w14:textId="03C90FA3" w:rsidR="3CC598E0" w:rsidRDefault="3CC598E0" w:rsidP="4562F8BF">
      <w:r w:rsidRPr="4562F8BF">
        <w:rPr>
          <w:rFonts w:ascii="Calibri" w:eastAsia="Calibri" w:hAnsi="Calibri" w:cs="Calibri"/>
          <w:b/>
          <w:bCs/>
          <w:u w:val="single"/>
        </w:rPr>
        <w:t>Crime Trends</w:t>
      </w:r>
    </w:p>
    <w:p w14:paraId="43EC4A08" w14:textId="77777777" w:rsidR="00785615" w:rsidRDefault="3CC598E0" w:rsidP="4562F8BF">
      <w:r w:rsidRPr="4562F8BF">
        <w:rPr>
          <w:rFonts w:ascii="Calibri" w:eastAsia="Calibri" w:hAnsi="Calibri" w:cs="Calibri"/>
          <w:b/>
          <w:bCs/>
          <w:u w:val="single"/>
        </w:rPr>
        <w:t>Uniform Crime Report-Part One Crimes</w:t>
      </w:r>
    </w:p>
    <w:p w14:paraId="2AB1815E" w14:textId="2BDD89F1" w:rsidR="3CC598E0" w:rsidRDefault="00DD5BB3" w:rsidP="4562F8BF">
      <w:r>
        <w:rPr>
          <w:rFonts w:ascii="Calibri" w:eastAsia="Calibri" w:hAnsi="Calibri" w:cs="Calibri"/>
          <w:b/>
          <w:bCs/>
          <w:u w:val="single"/>
        </w:rPr>
        <w:t>November</w:t>
      </w:r>
      <w:r w:rsidR="00785615">
        <w:rPr>
          <w:rFonts w:ascii="Calibri" w:eastAsia="Calibri" w:hAnsi="Calibri" w:cs="Calibri"/>
          <w:b/>
          <w:bCs/>
          <w:u w:val="single"/>
        </w:rPr>
        <w:t xml:space="preserve"> </w:t>
      </w:r>
      <w:r w:rsidR="3CC598E0" w:rsidRPr="4562F8BF">
        <w:rPr>
          <w:rFonts w:ascii="Calibri" w:eastAsia="Calibri" w:hAnsi="Calibri" w:cs="Calibri"/>
          <w:b/>
          <w:bCs/>
          <w:u w:val="single"/>
        </w:rPr>
        <w:t>2023</w:t>
      </w:r>
    </w:p>
    <w:tbl>
      <w:tblPr>
        <w:tblStyle w:val="GridTable3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765"/>
        <w:gridCol w:w="765"/>
        <w:gridCol w:w="765"/>
        <w:gridCol w:w="765"/>
        <w:gridCol w:w="765"/>
      </w:tblGrid>
      <w:tr w:rsidR="4562F8BF" w14:paraId="7EC5143C" w14:textId="77777777" w:rsidTr="6346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3BC8F66A" w14:textId="1B45ACFD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Month to Month</w:t>
            </w:r>
          </w:p>
        </w:tc>
        <w:tc>
          <w:tcPr>
            <w:tcW w:w="76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2603475E" w14:textId="25FBCC2E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2023</w:t>
            </w:r>
          </w:p>
        </w:tc>
        <w:tc>
          <w:tcPr>
            <w:tcW w:w="76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123C8E63" w14:textId="0D523610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YTD</w:t>
            </w:r>
          </w:p>
        </w:tc>
        <w:tc>
          <w:tcPr>
            <w:tcW w:w="76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628B4F91" w14:textId="1EABE2A2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2020</w:t>
            </w:r>
          </w:p>
        </w:tc>
        <w:tc>
          <w:tcPr>
            <w:tcW w:w="76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7C09705D" w14:textId="481B8FA7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2021</w:t>
            </w:r>
          </w:p>
        </w:tc>
        <w:tc>
          <w:tcPr>
            <w:tcW w:w="76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360C3162" w14:textId="09495262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4562F8BF" w14:paraId="49B3E2AE" w14:textId="77777777" w:rsidTr="6346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7560F647" w14:textId="7FEF35E3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Homicide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12EC9B3" w14:textId="01ED9CC4" w:rsidR="4562F8BF" w:rsidRDefault="00DD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072E22" w14:textId="31071539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53BACFB" w14:textId="58095333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300F517" w14:textId="7D7F805C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1209B51" w14:textId="47AD3A9F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4562F8BF" w14:paraId="1FDCDA52" w14:textId="77777777" w:rsidTr="63461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30D99577" w14:textId="797FBBD6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Forcible Rape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A2ACFDE" w14:textId="46EE0CF2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56E87FE" w14:textId="384B248E" w:rsidR="4562F8BF" w:rsidRDefault="0C7F3F2B" w:rsidP="634612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46125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227E0D4" w14:textId="4BE3B5F5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0B836A8" w14:textId="271E8ACB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3444CE94" w14:textId="727B8CCC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10</w:t>
            </w:r>
          </w:p>
        </w:tc>
      </w:tr>
      <w:tr w:rsidR="4562F8BF" w14:paraId="51889810" w14:textId="77777777" w:rsidTr="6346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3161B4C" w14:textId="3255C5C0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Robbery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6744E1F" w14:textId="3CBEA6B0" w:rsidR="4562F8BF" w:rsidRDefault="00DD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497E38D" w14:textId="6F750C70" w:rsidR="4562F8BF" w:rsidRDefault="00DD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D2DA218" w14:textId="4F0FF29B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50E609E" w14:textId="28A1B86E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1AF7AF9" w14:textId="060FFA23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4562F8BF" w14:paraId="32F532F9" w14:textId="77777777" w:rsidTr="63461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6523AD5" w14:textId="6A0BBFDD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Aggravated Assault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B4B441A" w14:textId="790D87C6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B7DE1BE" w14:textId="028F1A3B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7567A7D7" w14:textId="3E464037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79A5E20A" w14:textId="31081904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F167E0A" w14:textId="151CA526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21</w:t>
            </w:r>
          </w:p>
        </w:tc>
      </w:tr>
      <w:tr w:rsidR="4562F8BF" w14:paraId="5D9DD07E" w14:textId="77777777" w:rsidTr="6346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F654064" w14:textId="3EA8EAEA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Burglary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24EBA13" w14:textId="13A3BE28" w:rsidR="4562F8BF" w:rsidRDefault="00DD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C14AE76" w14:textId="631E2BE0" w:rsidR="4562F8BF" w:rsidRDefault="00DD5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4365E81" w14:textId="608027B4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61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B0EDD4" w14:textId="10C10F86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2DEFF58" w14:textId="44B16355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</w:tr>
      <w:tr w:rsidR="4562F8BF" w14:paraId="5AD2BA6B" w14:textId="77777777" w:rsidTr="63461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717962E9" w14:textId="77BF5B1D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Larceny-Theft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7ECFA96" w14:textId="281BC06C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963C95A" w14:textId="5DD5F269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203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18341D5" w14:textId="24C1740A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182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D605C41" w14:textId="6453E335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07764CB" w14:textId="6DCFF1CB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229</w:t>
            </w:r>
          </w:p>
        </w:tc>
      </w:tr>
      <w:tr w:rsidR="4562F8BF" w14:paraId="3E47F372" w14:textId="77777777" w:rsidTr="6346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68FDE858" w14:textId="2DFE2973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Motor Vehicle Theft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CF1254C" w14:textId="7FABF972" w:rsidR="4562F8BF" w:rsidRDefault="00E5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CC3C889" w14:textId="352FBA4B" w:rsidR="4562F8BF" w:rsidRDefault="00E50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38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7986D0" w14:textId="0A05B553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38199F0" w14:textId="5053781B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6BE249B" w14:textId="254FFC84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4562F8BF" w14:paraId="380887B9" w14:textId="77777777" w:rsidTr="63461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B2AAB99" w14:textId="0B9F2EDD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Arson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7794977" w14:textId="73C17D35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A383439" w14:textId="47EE30CF" w:rsidR="4562F8BF" w:rsidRDefault="791124C0" w:rsidP="634612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346125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7F57492" w14:textId="429DAA74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180C3B2" w14:textId="56DBAE2F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686721A8" w14:textId="6E32D719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</w:t>
            </w:r>
          </w:p>
        </w:tc>
      </w:tr>
      <w:tr w:rsidR="4562F8BF" w14:paraId="469D7982" w14:textId="77777777" w:rsidTr="6346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4DD2763" w14:textId="37133F94" w:rsidR="4562F8BF" w:rsidRDefault="4562F8BF" w:rsidP="4562F8BF">
            <w:r w:rsidRPr="4562F8B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285FF91" w14:textId="79B72516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7F253C2" w14:textId="7F0FA4E3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5927026" w14:textId="6E805561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7138499" w14:textId="1EAC9F25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658A057" w14:textId="2BDDBB6D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562F8BF" w14:paraId="6F406423" w14:textId="77777777" w:rsidTr="63461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358FAB1C" w14:textId="7698DA8F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Totals: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B980A19" w14:textId="125378AC" w:rsidR="4562F8BF" w:rsidRDefault="00DD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677557A0" w14:textId="48CF06AB" w:rsidR="4562F8BF" w:rsidRDefault="00F3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314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844C066" w14:textId="77123302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387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87EE288" w14:textId="40F4AF8E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271</w:t>
            </w:r>
          </w:p>
        </w:tc>
        <w:tc>
          <w:tcPr>
            <w:tcW w:w="7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CF7B40F" w14:textId="72FA1FBB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328</w:t>
            </w:r>
          </w:p>
        </w:tc>
      </w:tr>
    </w:tbl>
    <w:p w14:paraId="2E60AEA2" w14:textId="407E0D6F" w:rsidR="4562F8BF" w:rsidRDefault="4562F8BF" w:rsidP="4562F8BF"/>
    <w:p w14:paraId="21540C4F" w14:textId="77777777" w:rsidR="006A405A" w:rsidRDefault="006A405A" w:rsidP="4562F8BF"/>
    <w:p w14:paraId="258378E0" w14:textId="3F25419D" w:rsidR="00016653" w:rsidRDefault="00B46250" w:rsidP="00C51E0A">
      <w:pPr>
        <w:rPr>
          <w:b/>
          <w:bCs/>
          <w:u w:val="single"/>
        </w:rPr>
      </w:pPr>
      <w:r w:rsidRPr="01C67DC0">
        <w:rPr>
          <w:b/>
          <w:bCs/>
          <w:u w:val="single"/>
        </w:rPr>
        <w:t>Crime Trends (Reports Available for Detail</w:t>
      </w:r>
      <w:r w:rsidR="006D310B">
        <w:rPr>
          <w:b/>
          <w:bCs/>
          <w:u w:val="single"/>
        </w:rPr>
        <w:t>)</w:t>
      </w:r>
    </w:p>
    <w:p w14:paraId="11B057DC" w14:textId="3F0A2BD8" w:rsidR="00DD5BB3" w:rsidRDefault="00DD5BB3" w:rsidP="00C51E0A">
      <w:r>
        <w:t>November 3, 2023, 8061 Hamilton Av., person shot, victim uncooperative, (202301557.)</w:t>
      </w:r>
    </w:p>
    <w:p w14:paraId="687ADDCC" w14:textId="55351E90" w:rsidR="00F73622" w:rsidRDefault="00DD5BB3" w:rsidP="00C51E0A">
      <w:r>
        <w:t>November 26, 2023, 8050 Hamilton Av. , armed robbery of Family Dollar, (202301640.)</w:t>
      </w:r>
    </w:p>
    <w:p w14:paraId="19F1F702" w14:textId="3E27023C" w:rsidR="00DD5BB3" w:rsidRDefault="00DD5BB3" w:rsidP="00C51E0A">
      <w:r>
        <w:t>November 29, 2023, 1936 Adams Rd. report of shots fired, victim uncooperative, (202301652.)</w:t>
      </w:r>
    </w:p>
    <w:p w14:paraId="50782CDB" w14:textId="77777777" w:rsidR="006A405A" w:rsidRDefault="006A405A" w:rsidP="00C51E0A"/>
    <w:p w14:paraId="7D254323" w14:textId="77777777" w:rsidR="006A405A" w:rsidRDefault="006A405A" w:rsidP="00C51E0A"/>
    <w:p w14:paraId="66D174B8" w14:textId="77777777" w:rsidR="006A405A" w:rsidRDefault="006A405A" w:rsidP="00C51E0A"/>
    <w:p w14:paraId="67967A74" w14:textId="77777777" w:rsidR="006A405A" w:rsidRDefault="006A405A" w:rsidP="00C51E0A"/>
    <w:p w14:paraId="6621BC9A" w14:textId="77777777" w:rsidR="006A405A" w:rsidRDefault="006A405A" w:rsidP="00C51E0A"/>
    <w:p w14:paraId="2C605B25" w14:textId="77777777" w:rsidR="006A405A" w:rsidRDefault="006A405A" w:rsidP="00C51E0A">
      <w:pPr>
        <w:rPr>
          <w:b/>
          <w:bCs/>
          <w:u w:val="single"/>
        </w:rPr>
      </w:pPr>
    </w:p>
    <w:p w14:paraId="6A526771" w14:textId="079566B9" w:rsidR="0027652C" w:rsidRPr="00BF20CC" w:rsidRDefault="0027652C" w:rsidP="00C51E0A">
      <w:r w:rsidRPr="01C67DC0">
        <w:rPr>
          <w:b/>
          <w:bCs/>
          <w:u w:val="single"/>
        </w:rPr>
        <w:t>Calls for Service to Liquor License Establishments</w:t>
      </w:r>
    </w:p>
    <w:tbl>
      <w:tblPr>
        <w:tblStyle w:val="GridTable3"/>
        <w:tblW w:w="9450" w:type="dxa"/>
        <w:tblLook w:val="04A0" w:firstRow="1" w:lastRow="0" w:firstColumn="1" w:lastColumn="0" w:noHBand="0" w:noVBand="1"/>
      </w:tblPr>
      <w:tblGrid>
        <w:gridCol w:w="4675"/>
        <w:gridCol w:w="4775"/>
      </w:tblGrid>
      <w:tr w:rsidR="0027652C" w14:paraId="14D554AA" w14:textId="77777777" w:rsidTr="0033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6F2F5C0E" w14:textId="0DED9DF1" w:rsidR="0027652C" w:rsidRPr="0027652C" w:rsidRDefault="0027652C" w:rsidP="01C67DC0">
            <w:pPr>
              <w:jc w:val="left"/>
              <w:rPr>
                <w:i w:val="0"/>
                <w:iCs w:val="0"/>
              </w:rPr>
            </w:pPr>
            <w:r w:rsidRPr="01C67DC0">
              <w:rPr>
                <w:i w:val="0"/>
                <w:iCs w:val="0"/>
              </w:rPr>
              <w:t>Location</w:t>
            </w:r>
          </w:p>
        </w:tc>
        <w:tc>
          <w:tcPr>
            <w:tcW w:w="4775" w:type="dxa"/>
          </w:tcPr>
          <w:p w14:paraId="06EB8837" w14:textId="03149212" w:rsidR="0027652C" w:rsidRPr="0027652C" w:rsidRDefault="0027652C" w:rsidP="00C51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52C">
              <w:t>Calls for Service</w:t>
            </w:r>
          </w:p>
        </w:tc>
      </w:tr>
      <w:tr w:rsidR="0027652C" w14:paraId="509655E8" w14:textId="77777777" w:rsidTr="0033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1DB774" w14:textId="7EAED653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Vince’s Other Place 7701 Hamilton Av.</w:t>
            </w:r>
          </w:p>
        </w:tc>
        <w:tc>
          <w:tcPr>
            <w:tcW w:w="4775" w:type="dxa"/>
          </w:tcPr>
          <w:p w14:paraId="2A13B1BD" w14:textId="630652CF" w:rsidR="00A13A4D" w:rsidRPr="00586119" w:rsidRDefault="00C757E8" w:rsidP="00C51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(PARKING VIOLATION, SQUAD RUN)</w:t>
            </w:r>
          </w:p>
        </w:tc>
      </w:tr>
      <w:tr w:rsidR="0027652C" w14:paraId="7DF0CAC8" w14:textId="77777777" w:rsidTr="0033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6A929A" w14:textId="512BE8FA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Just One More 7511 Hamilton Av.</w:t>
            </w:r>
          </w:p>
        </w:tc>
        <w:tc>
          <w:tcPr>
            <w:tcW w:w="4775" w:type="dxa"/>
          </w:tcPr>
          <w:p w14:paraId="3D86F84F" w14:textId="6322FB0A" w:rsidR="0027652C" w:rsidRPr="00586119" w:rsidRDefault="00C757E8" w:rsidP="00C51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(TROUBLE RUN)</w:t>
            </w:r>
          </w:p>
        </w:tc>
      </w:tr>
      <w:tr w:rsidR="0027652C" w14:paraId="0D3C5C62" w14:textId="77777777" w:rsidTr="0033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A063ED" w14:textId="788C7E53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Suite 31 8021 Hamilton Av.</w:t>
            </w:r>
          </w:p>
        </w:tc>
        <w:tc>
          <w:tcPr>
            <w:tcW w:w="4775" w:type="dxa"/>
          </w:tcPr>
          <w:p w14:paraId="39264BF2" w14:textId="50059B81" w:rsidR="0027652C" w:rsidRPr="00586119" w:rsidRDefault="00C757E8" w:rsidP="00C51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7652C" w14:paraId="2F67425B" w14:textId="77777777" w:rsidTr="0033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B0CA6E" w14:textId="16D2C365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Gametime Bar 8070 Hamilton Av.</w:t>
            </w:r>
          </w:p>
        </w:tc>
        <w:tc>
          <w:tcPr>
            <w:tcW w:w="4775" w:type="dxa"/>
          </w:tcPr>
          <w:p w14:paraId="1C52CBF5" w14:textId="022B7AC9" w:rsidR="0027652C" w:rsidRPr="00586119" w:rsidRDefault="00C757E8" w:rsidP="00C51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27652C" w14:paraId="16F22653" w14:textId="77777777" w:rsidTr="0033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697A6C" w14:textId="4A7F9673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Reminisce Sports Café 8134 Hamilton Av.</w:t>
            </w:r>
          </w:p>
        </w:tc>
        <w:tc>
          <w:tcPr>
            <w:tcW w:w="4775" w:type="dxa"/>
          </w:tcPr>
          <w:p w14:paraId="148A4127" w14:textId="4203BAFB" w:rsidR="0027652C" w:rsidRPr="00586119" w:rsidRDefault="00C757E8" w:rsidP="00C51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(INFORMATION INCIDENT, FIGHT IN PROGRESS)</w:t>
            </w:r>
          </w:p>
        </w:tc>
      </w:tr>
      <w:tr w:rsidR="0027652C" w14:paraId="4E6A3889" w14:textId="77777777" w:rsidTr="0033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B4F79F" w14:textId="1E60B044" w:rsidR="0027652C" w:rsidRP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Take a Shot Bar 1357 Compton Rd.</w:t>
            </w:r>
          </w:p>
        </w:tc>
        <w:tc>
          <w:tcPr>
            <w:tcW w:w="4775" w:type="dxa"/>
          </w:tcPr>
          <w:p w14:paraId="538C74D0" w14:textId="67489FE8" w:rsidR="0027652C" w:rsidRPr="00586119" w:rsidRDefault="00C757E8" w:rsidP="00C51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(SHOTS FIRED, AUTO ACCIDENT)</w:t>
            </w:r>
          </w:p>
        </w:tc>
      </w:tr>
      <w:tr w:rsidR="0027652C" w14:paraId="4DABE9D9" w14:textId="77777777" w:rsidTr="0033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1FDC27" w14:textId="56F69AF3" w:rsidR="0027652C" w:rsidRDefault="0027652C" w:rsidP="01C67DC0">
            <w:pPr>
              <w:jc w:val="left"/>
              <w:rPr>
                <w:b/>
                <w:bCs/>
                <w:i w:val="0"/>
                <w:iCs w:val="0"/>
              </w:rPr>
            </w:pPr>
            <w:r w:rsidRPr="01C67DC0">
              <w:rPr>
                <w:b/>
                <w:bCs/>
                <w:i w:val="0"/>
                <w:iCs w:val="0"/>
              </w:rPr>
              <w:t>Fibonacci Bar 1445 Compton Rd.</w:t>
            </w:r>
          </w:p>
        </w:tc>
        <w:tc>
          <w:tcPr>
            <w:tcW w:w="4775" w:type="dxa"/>
          </w:tcPr>
          <w:p w14:paraId="034D75C6" w14:textId="7F4A9C45" w:rsidR="0027652C" w:rsidRPr="00586119" w:rsidRDefault="00C757E8" w:rsidP="00C51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(TROUBLE RUN)</w:t>
            </w:r>
          </w:p>
        </w:tc>
      </w:tr>
    </w:tbl>
    <w:p w14:paraId="0B61000F" w14:textId="77777777" w:rsidR="00B46250" w:rsidRDefault="00B46250" w:rsidP="00C51E0A">
      <w:pPr>
        <w:rPr>
          <w:b/>
          <w:bCs/>
          <w:u w:val="single"/>
        </w:rPr>
      </w:pPr>
    </w:p>
    <w:p w14:paraId="0C7B9185" w14:textId="0EF12B4A" w:rsidR="4E93F8F9" w:rsidRDefault="4E93F8F9" w:rsidP="4E93F8F9">
      <w:pPr>
        <w:rPr>
          <w:b/>
          <w:bCs/>
          <w:u w:val="single"/>
        </w:rPr>
      </w:pPr>
    </w:p>
    <w:p w14:paraId="14299DD0" w14:textId="0B2F47F3" w:rsidR="4E93F8F9" w:rsidRDefault="4E93F8F9" w:rsidP="4E93F8F9">
      <w:pPr>
        <w:rPr>
          <w:b/>
          <w:bCs/>
          <w:u w:val="single"/>
        </w:rPr>
      </w:pPr>
    </w:p>
    <w:p w14:paraId="211FDF91" w14:textId="6163FA5E" w:rsidR="4E93F8F9" w:rsidRDefault="4E93F8F9" w:rsidP="4E93F8F9">
      <w:pPr>
        <w:rPr>
          <w:b/>
          <w:bCs/>
          <w:u w:val="single"/>
        </w:rPr>
      </w:pPr>
    </w:p>
    <w:p w14:paraId="74EEBDB4" w14:textId="59A8FC4E" w:rsidR="4E93F8F9" w:rsidRDefault="7EF9EAB2" w:rsidP="4562F8BF">
      <w:r w:rsidRPr="4562F8BF">
        <w:rPr>
          <w:rFonts w:ascii="Calibri" w:eastAsia="Calibri" w:hAnsi="Calibri" w:cs="Calibri"/>
          <w:b/>
          <w:bCs/>
          <w:u w:val="single"/>
        </w:rPr>
        <w:t>Calls for Service to Apartment Complexes</w:t>
      </w:r>
    </w:p>
    <w:tbl>
      <w:tblPr>
        <w:tblStyle w:val="GridTable3"/>
        <w:tblW w:w="0" w:type="auto"/>
        <w:tblLayout w:type="fixed"/>
        <w:tblLook w:val="04A0" w:firstRow="1" w:lastRow="0" w:firstColumn="1" w:lastColumn="0" w:noHBand="0" w:noVBand="1"/>
      </w:tblPr>
      <w:tblGrid>
        <w:gridCol w:w="3315"/>
        <w:gridCol w:w="3150"/>
        <w:gridCol w:w="2895"/>
      </w:tblGrid>
      <w:tr w:rsidR="4562F8BF" w14:paraId="2174F61D" w14:textId="77777777" w:rsidTr="4562F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249017B7" w14:textId="1F38F999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Location</w:t>
            </w:r>
          </w:p>
        </w:tc>
        <w:tc>
          <w:tcPr>
            <w:tcW w:w="3150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14B0E971" w14:textId="25ACCB71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Calls for Service</w:t>
            </w:r>
          </w:p>
        </w:tc>
        <w:tc>
          <w:tcPr>
            <w:tcW w:w="2895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42F769C9" w14:textId="2602E281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YTD</w:t>
            </w:r>
          </w:p>
        </w:tc>
      </w:tr>
      <w:tr w:rsidR="4562F8BF" w14:paraId="11E545D3" w14:textId="77777777" w:rsidTr="4562F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C7AE931" w14:textId="3E44F9E8" w:rsidR="4562F8BF" w:rsidRPr="00DD5BB3" w:rsidRDefault="4562F8BF" w:rsidP="4562F8BF">
            <w:pPr>
              <w:jc w:val="left"/>
              <w:rPr>
                <w:i w:val="0"/>
                <w:iCs w:val="0"/>
              </w:rPr>
            </w:pPr>
            <w:r w:rsidRPr="00DD5BB3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Clovernook Apartments</w:t>
            </w:r>
          </w:p>
        </w:tc>
        <w:tc>
          <w:tcPr>
            <w:tcW w:w="31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E2786C0" w14:textId="23CADAB6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422C6F8" w14:textId="29C9677D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766</w:t>
            </w:r>
          </w:p>
        </w:tc>
      </w:tr>
      <w:tr w:rsidR="4562F8BF" w14:paraId="703BA181" w14:textId="77777777" w:rsidTr="4562F8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4B6F8E1" w14:textId="7A76AF9F" w:rsidR="4562F8BF" w:rsidRPr="00DD5BB3" w:rsidRDefault="4562F8BF" w:rsidP="4562F8BF">
            <w:pPr>
              <w:jc w:val="left"/>
              <w:rPr>
                <w:i w:val="0"/>
                <w:iCs w:val="0"/>
              </w:rPr>
            </w:pPr>
            <w:r w:rsidRPr="00DD5BB3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Lake of the Woods</w:t>
            </w:r>
          </w:p>
        </w:tc>
        <w:tc>
          <w:tcPr>
            <w:tcW w:w="31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381578F2" w14:textId="1DC0AF55" w:rsidR="4562F8BF" w:rsidRDefault="00C75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044CF62" w14:textId="22914381" w:rsidR="4562F8BF" w:rsidRDefault="00C75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4562F8BF" w14:paraId="529D1166" w14:textId="77777777" w:rsidTr="4562F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480F25A" w14:textId="77B7041D" w:rsidR="4562F8BF" w:rsidRPr="00DD5BB3" w:rsidRDefault="4562F8BF" w:rsidP="4562F8BF">
            <w:pPr>
              <w:jc w:val="left"/>
              <w:rPr>
                <w:i w:val="0"/>
                <w:iCs w:val="0"/>
              </w:rPr>
            </w:pPr>
            <w:r w:rsidRPr="00DD5BB3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Compton Lakes</w:t>
            </w:r>
          </w:p>
        </w:tc>
        <w:tc>
          <w:tcPr>
            <w:tcW w:w="31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DEFAE3A" w14:textId="5C766FF3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89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30D4AA2" w14:textId="3371C0FB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61</w:t>
            </w:r>
          </w:p>
        </w:tc>
      </w:tr>
    </w:tbl>
    <w:p w14:paraId="694B41E0" w14:textId="0BEC389E" w:rsidR="4E93F8F9" w:rsidRDefault="4E93F8F9" w:rsidP="4E93F8F9">
      <w:pPr>
        <w:rPr>
          <w:b/>
          <w:bCs/>
          <w:u w:val="single"/>
        </w:rPr>
      </w:pPr>
    </w:p>
    <w:p w14:paraId="239C6FF1" w14:textId="77777777" w:rsidR="00586119" w:rsidRDefault="00586119" w:rsidP="00C51E0A">
      <w:pPr>
        <w:rPr>
          <w:b/>
          <w:bCs/>
          <w:u w:val="single"/>
        </w:rPr>
      </w:pPr>
    </w:p>
    <w:p w14:paraId="5CA80128" w14:textId="450D8D20" w:rsidR="4562F8BF" w:rsidRDefault="4562F8BF" w:rsidP="4562F8BF">
      <w:pPr>
        <w:rPr>
          <w:b/>
          <w:bCs/>
          <w:u w:val="single"/>
        </w:rPr>
      </w:pPr>
    </w:p>
    <w:p w14:paraId="1A095F31" w14:textId="526F2D3E" w:rsidR="4562F8BF" w:rsidRDefault="4562F8BF" w:rsidP="4562F8BF">
      <w:pPr>
        <w:rPr>
          <w:b/>
          <w:bCs/>
          <w:u w:val="single"/>
        </w:rPr>
      </w:pPr>
    </w:p>
    <w:p w14:paraId="2E5E4E8B" w14:textId="14AEB046" w:rsidR="553AF00D" w:rsidRDefault="553AF00D" w:rsidP="4562F8BF">
      <w:r w:rsidRPr="4562F8BF">
        <w:rPr>
          <w:rFonts w:ascii="Calibri" w:eastAsia="Calibri" w:hAnsi="Calibri" w:cs="Calibri"/>
          <w:b/>
          <w:bCs/>
          <w:u w:val="single"/>
        </w:rPr>
        <w:t>Traffic Summary/Calls for Service</w:t>
      </w:r>
    </w:p>
    <w:tbl>
      <w:tblPr>
        <w:tblStyle w:val="GridTable3"/>
        <w:tblW w:w="0" w:type="auto"/>
        <w:tblLayout w:type="fixed"/>
        <w:tblLook w:val="04A0" w:firstRow="1" w:lastRow="0" w:firstColumn="1" w:lastColumn="0" w:noHBand="0" w:noVBand="1"/>
      </w:tblPr>
      <w:tblGrid>
        <w:gridCol w:w="1902"/>
        <w:gridCol w:w="1632"/>
        <w:gridCol w:w="1647"/>
        <w:gridCol w:w="1393"/>
        <w:gridCol w:w="1393"/>
        <w:gridCol w:w="1393"/>
      </w:tblGrid>
      <w:tr w:rsidR="4562F8BF" w14:paraId="7CD5C77E" w14:textId="77777777" w:rsidTr="4562F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2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763CA6BF" w14:textId="645BDF7A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32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74749C42" w14:textId="55824714" w:rsidR="4562F8BF" w:rsidRDefault="00DD5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November</w:t>
            </w:r>
          </w:p>
        </w:tc>
        <w:tc>
          <w:tcPr>
            <w:tcW w:w="1647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4E868B49" w14:textId="55648C26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Year to Date</w:t>
            </w:r>
          </w:p>
        </w:tc>
        <w:tc>
          <w:tcPr>
            <w:tcW w:w="1393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23BF6B95" w14:textId="5E69E3E3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2020</w:t>
            </w:r>
          </w:p>
        </w:tc>
        <w:tc>
          <w:tcPr>
            <w:tcW w:w="1393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4BBB21C8" w14:textId="714140CD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2021</w:t>
            </w:r>
          </w:p>
        </w:tc>
        <w:tc>
          <w:tcPr>
            <w:tcW w:w="1393" w:type="dxa"/>
            <w:tcBorders>
              <w:bottom w:val="single" w:sz="8" w:space="0" w:color="666666"/>
            </w:tcBorders>
            <w:tcMar>
              <w:left w:w="108" w:type="dxa"/>
              <w:right w:w="108" w:type="dxa"/>
            </w:tcMar>
          </w:tcPr>
          <w:p w14:paraId="2AE079C3" w14:textId="760DC25A" w:rsidR="4562F8BF" w:rsidRDefault="4562F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2022</w:t>
            </w:r>
          </w:p>
        </w:tc>
      </w:tr>
      <w:tr w:rsidR="4562F8BF" w14:paraId="388864A2" w14:textId="77777777" w:rsidTr="4562F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tcBorders>
              <w:top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2C05259" w14:textId="107A7A6A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Traffic Citations</w:t>
            </w:r>
          </w:p>
        </w:tc>
        <w:tc>
          <w:tcPr>
            <w:tcW w:w="16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E3B950B" w14:textId="0FE4790E" w:rsidR="4562F8BF" w:rsidRDefault="003F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6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EDFEB4B" w14:textId="437D223C" w:rsidR="4562F8BF" w:rsidRDefault="003F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963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C822AF8" w14:textId="07701FAD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974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0F5EFAA" w14:textId="49CF3FD8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1921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F0C7838" w14:textId="5E73E3B8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1581</w:t>
            </w:r>
          </w:p>
        </w:tc>
      </w:tr>
      <w:tr w:rsidR="4562F8BF" w14:paraId="3F0A03F7" w14:textId="77777777" w:rsidTr="4562F8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A348B39" w14:textId="0D697371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Traffic Warnings</w:t>
            </w:r>
          </w:p>
        </w:tc>
        <w:tc>
          <w:tcPr>
            <w:tcW w:w="16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FB5D20F" w14:textId="35DF9C2D" w:rsidR="4562F8BF" w:rsidRDefault="003F4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6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B94FD5D" w14:textId="256DA723" w:rsidR="4562F8BF" w:rsidRDefault="003F4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401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2D07046" w14:textId="620639C9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62D5240B" w14:textId="368235AB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8F826F3" w14:textId="0BAA3555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183</w:t>
            </w:r>
          </w:p>
        </w:tc>
      </w:tr>
      <w:tr w:rsidR="4562F8BF" w14:paraId="1BBA8739" w14:textId="77777777" w:rsidTr="4562F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BDE0CF4" w14:textId="40962279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Parking Citations</w:t>
            </w:r>
          </w:p>
        </w:tc>
        <w:tc>
          <w:tcPr>
            <w:tcW w:w="16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1E0ED79" w14:textId="32972559" w:rsidR="4562F8BF" w:rsidRDefault="003F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6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38EB8A2" w14:textId="625E2A9A" w:rsidR="4562F8BF" w:rsidRDefault="003F4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59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9EE8D8F" w14:textId="4C11DDF0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10CF8E8" w14:textId="6281D809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101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CB18BBD" w14:textId="0A42F436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123</w:t>
            </w:r>
          </w:p>
        </w:tc>
      </w:tr>
      <w:tr w:rsidR="4562F8BF" w14:paraId="447F03C2" w14:textId="77777777" w:rsidTr="4562F8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3C879268" w14:textId="354AB94F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Traffic Crashes</w:t>
            </w:r>
          </w:p>
        </w:tc>
        <w:tc>
          <w:tcPr>
            <w:tcW w:w="16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0EBFE0D5" w14:textId="68562A24" w:rsidR="4562F8BF" w:rsidRDefault="003F4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6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C20C28E" w14:textId="50F11B74" w:rsidR="4562F8BF" w:rsidRDefault="003F4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234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D9CC74B" w14:textId="512EE9F8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197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1331185E" w14:textId="157EDC4E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297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447E6F1" w14:textId="5EA5B6B6" w:rsidR="4562F8BF" w:rsidRDefault="4562F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</w:rPr>
              <w:t>270</w:t>
            </w:r>
          </w:p>
        </w:tc>
      </w:tr>
      <w:tr w:rsidR="4562F8BF" w14:paraId="5A4D3F0B" w14:textId="77777777" w:rsidTr="4562F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tcBorders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856A5DF" w14:textId="764C8A1B" w:rsidR="4562F8BF" w:rsidRDefault="4562F8BF" w:rsidP="4562F8BF">
            <w:pPr>
              <w:jc w:val="left"/>
            </w:pPr>
            <w:r w:rsidRPr="4562F8BF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Calls for Service</w:t>
            </w:r>
          </w:p>
        </w:tc>
        <w:tc>
          <w:tcPr>
            <w:tcW w:w="16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9DC387C" w14:textId="5D9D4C9A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</w:t>
            </w:r>
          </w:p>
        </w:tc>
        <w:tc>
          <w:tcPr>
            <w:tcW w:w="16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5B0E06E" w14:textId="4F2866B0" w:rsidR="4562F8BF" w:rsidRDefault="00C7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000000" w:themeColor="text1"/>
              </w:rPr>
              <w:t>8248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968B426" w14:textId="5C260B6B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8727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86CCAB8" w14:textId="6E46284A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8755</w:t>
            </w:r>
          </w:p>
        </w:tc>
        <w:tc>
          <w:tcPr>
            <w:tcW w:w="139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399A06" w14:textId="02C66FDC" w:rsidR="4562F8BF" w:rsidRDefault="4562F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562F8BF">
              <w:rPr>
                <w:rFonts w:ascii="Calibri" w:eastAsia="Calibri" w:hAnsi="Calibri" w:cs="Calibri"/>
                <w:color w:val="000000" w:themeColor="text1"/>
              </w:rPr>
              <w:t>8923</w:t>
            </w:r>
          </w:p>
        </w:tc>
      </w:tr>
    </w:tbl>
    <w:p w14:paraId="4C194895" w14:textId="62731F2C" w:rsidR="4562F8BF" w:rsidRDefault="4562F8BF" w:rsidP="4562F8BF">
      <w:pPr>
        <w:rPr>
          <w:b/>
          <w:bCs/>
          <w:u w:val="single"/>
        </w:rPr>
      </w:pPr>
    </w:p>
    <w:p w14:paraId="022B8B72" w14:textId="2DE22DA9" w:rsidR="4562F8BF" w:rsidRDefault="4562F8BF" w:rsidP="4562F8BF">
      <w:pPr>
        <w:rPr>
          <w:b/>
          <w:bCs/>
          <w:u w:val="single"/>
        </w:rPr>
      </w:pPr>
    </w:p>
    <w:p w14:paraId="2F9C17AF" w14:textId="77777777" w:rsidR="00586119" w:rsidRPr="00B46250" w:rsidRDefault="00586119" w:rsidP="00C51E0A">
      <w:pPr>
        <w:rPr>
          <w:b/>
          <w:bCs/>
          <w:u w:val="single"/>
        </w:rPr>
      </w:pPr>
    </w:p>
    <w:sectPr w:rsidR="00586119" w:rsidRPr="00B46250" w:rsidSect="00756DC1">
      <w:footerReference w:type="default" r:id="rId13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F517" w14:textId="77777777" w:rsidR="002C3591" w:rsidRDefault="002C3591" w:rsidP="006E60D5">
      <w:pPr>
        <w:spacing w:after="0" w:line="240" w:lineRule="auto"/>
      </w:pPr>
      <w:r>
        <w:separator/>
      </w:r>
    </w:p>
  </w:endnote>
  <w:endnote w:type="continuationSeparator" w:id="0">
    <w:p w14:paraId="024381BE" w14:textId="77777777" w:rsidR="002C3591" w:rsidRDefault="002C3591" w:rsidP="006E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9871" w14:textId="0D622E58" w:rsidR="00B9251C" w:rsidRDefault="00B9251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AC7B" wp14:editId="1E1D9B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0B34C0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5634" w14:textId="77777777" w:rsidR="002C3591" w:rsidRDefault="002C3591" w:rsidP="006E60D5">
      <w:pPr>
        <w:spacing w:after="0" w:line="240" w:lineRule="auto"/>
      </w:pPr>
      <w:r>
        <w:separator/>
      </w:r>
    </w:p>
  </w:footnote>
  <w:footnote w:type="continuationSeparator" w:id="0">
    <w:p w14:paraId="132C795E" w14:textId="77777777" w:rsidR="002C3591" w:rsidRDefault="002C3591" w:rsidP="006E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0E5"/>
    <w:multiLevelType w:val="hybridMultilevel"/>
    <w:tmpl w:val="6A9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C27"/>
    <w:multiLevelType w:val="hybridMultilevel"/>
    <w:tmpl w:val="6A8629F6"/>
    <w:lvl w:ilvl="0" w:tplc="73FE73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6322"/>
    <w:multiLevelType w:val="hybridMultilevel"/>
    <w:tmpl w:val="B976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3A01"/>
    <w:multiLevelType w:val="hybridMultilevel"/>
    <w:tmpl w:val="13642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A3608A"/>
    <w:multiLevelType w:val="hybridMultilevel"/>
    <w:tmpl w:val="ACF6F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E6C38"/>
    <w:multiLevelType w:val="hybridMultilevel"/>
    <w:tmpl w:val="EFAAD3C4"/>
    <w:lvl w:ilvl="0" w:tplc="73FE73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61E09"/>
    <w:multiLevelType w:val="hybridMultilevel"/>
    <w:tmpl w:val="7D3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2155A"/>
    <w:multiLevelType w:val="hybridMultilevel"/>
    <w:tmpl w:val="84B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23867">
    <w:abstractNumId w:val="5"/>
  </w:num>
  <w:num w:numId="2" w16cid:durableId="750467811">
    <w:abstractNumId w:val="1"/>
  </w:num>
  <w:num w:numId="3" w16cid:durableId="1191262602">
    <w:abstractNumId w:val="7"/>
  </w:num>
  <w:num w:numId="4" w16cid:durableId="1942640571">
    <w:abstractNumId w:val="3"/>
  </w:num>
  <w:num w:numId="5" w16cid:durableId="109130276">
    <w:abstractNumId w:val="4"/>
  </w:num>
  <w:num w:numId="6" w16cid:durableId="1140609871">
    <w:abstractNumId w:val="0"/>
  </w:num>
  <w:num w:numId="7" w16cid:durableId="1956280820">
    <w:abstractNumId w:val="6"/>
  </w:num>
  <w:num w:numId="8" w16cid:durableId="120005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1D"/>
    <w:rsid w:val="000077E2"/>
    <w:rsid w:val="0001177A"/>
    <w:rsid w:val="00016653"/>
    <w:rsid w:val="000212C9"/>
    <w:rsid w:val="000274DB"/>
    <w:rsid w:val="00031513"/>
    <w:rsid w:val="00034D3C"/>
    <w:rsid w:val="0003677F"/>
    <w:rsid w:val="00040F20"/>
    <w:rsid w:val="00050DF7"/>
    <w:rsid w:val="00056054"/>
    <w:rsid w:val="000607CA"/>
    <w:rsid w:val="00067D12"/>
    <w:rsid w:val="0007529F"/>
    <w:rsid w:val="000D47F2"/>
    <w:rsid w:val="00104185"/>
    <w:rsid w:val="00134CB1"/>
    <w:rsid w:val="001411E6"/>
    <w:rsid w:val="00167C03"/>
    <w:rsid w:val="001A3591"/>
    <w:rsid w:val="001A7582"/>
    <w:rsid w:val="001B21A1"/>
    <w:rsid w:val="001C4414"/>
    <w:rsid w:val="001C79C7"/>
    <w:rsid w:val="001F69F5"/>
    <w:rsid w:val="00234DF2"/>
    <w:rsid w:val="00242F9F"/>
    <w:rsid w:val="00252504"/>
    <w:rsid w:val="0027619B"/>
    <w:rsid w:val="0027652C"/>
    <w:rsid w:val="002B697A"/>
    <w:rsid w:val="002C3591"/>
    <w:rsid w:val="002C4705"/>
    <w:rsid w:val="002D23DD"/>
    <w:rsid w:val="002F2151"/>
    <w:rsid w:val="00317340"/>
    <w:rsid w:val="0033290E"/>
    <w:rsid w:val="0033735D"/>
    <w:rsid w:val="003577B5"/>
    <w:rsid w:val="003A6395"/>
    <w:rsid w:val="003B089C"/>
    <w:rsid w:val="003C19B2"/>
    <w:rsid w:val="003E1157"/>
    <w:rsid w:val="003F47A7"/>
    <w:rsid w:val="00400984"/>
    <w:rsid w:val="0042240D"/>
    <w:rsid w:val="00422A51"/>
    <w:rsid w:val="00451691"/>
    <w:rsid w:val="00451AEF"/>
    <w:rsid w:val="00453A1A"/>
    <w:rsid w:val="00471816"/>
    <w:rsid w:val="00484220"/>
    <w:rsid w:val="004927D3"/>
    <w:rsid w:val="004953C1"/>
    <w:rsid w:val="004A51D4"/>
    <w:rsid w:val="004B49DE"/>
    <w:rsid w:val="004C2007"/>
    <w:rsid w:val="004C5865"/>
    <w:rsid w:val="004E3556"/>
    <w:rsid w:val="00511F65"/>
    <w:rsid w:val="005259F3"/>
    <w:rsid w:val="0053134C"/>
    <w:rsid w:val="0053322E"/>
    <w:rsid w:val="005600EA"/>
    <w:rsid w:val="00563107"/>
    <w:rsid w:val="00571EC0"/>
    <w:rsid w:val="00577748"/>
    <w:rsid w:val="0058244E"/>
    <w:rsid w:val="00586119"/>
    <w:rsid w:val="005A4785"/>
    <w:rsid w:val="005D203D"/>
    <w:rsid w:val="00651565"/>
    <w:rsid w:val="00682FFB"/>
    <w:rsid w:val="006A405A"/>
    <w:rsid w:val="006A5BC3"/>
    <w:rsid w:val="006D310B"/>
    <w:rsid w:val="006E60D5"/>
    <w:rsid w:val="00721B8C"/>
    <w:rsid w:val="00733CDC"/>
    <w:rsid w:val="00736156"/>
    <w:rsid w:val="00756DC1"/>
    <w:rsid w:val="00785615"/>
    <w:rsid w:val="00786706"/>
    <w:rsid w:val="00791F05"/>
    <w:rsid w:val="00792B62"/>
    <w:rsid w:val="007A1E42"/>
    <w:rsid w:val="007C1B6F"/>
    <w:rsid w:val="00804919"/>
    <w:rsid w:val="00847029"/>
    <w:rsid w:val="008554FB"/>
    <w:rsid w:val="00862827"/>
    <w:rsid w:val="0089452A"/>
    <w:rsid w:val="008D16D4"/>
    <w:rsid w:val="009215DB"/>
    <w:rsid w:val="009370E3"/>
    <w:rsid w:val="0093777D"/>
    <w:rsid w:val="009641D2"/>
    <w:rsid w:val="009806C1"/>
    <w:rsid w:val="00990797"/>
    <w:rsid w:val="009A67C6"/>
    <w:rsid w:val="009B6EAB"/>
    <w:rsid w:val="009F0E3F"/>
    <w:rsid w:val="00A13A4D"/>
    <w:rsid w:val="00A26E08"/>
    <w:rsid w:val="00A71FC2"/>
    <w:rsid w:val="00A77351"/>
    <w:rsid w:val="00A825A1"/>
    <w:rsid w:val="00A84A93"/>
    <w:rsid w:val="00A87F08"/>
    <w:rsid w:val="00A97778"/>
    <w:rsid w:val="00AA2494"/>
    <w:rsid w:val="00AB2F2E"/>
    <w:rsid w:val="00AC071E"/>
    <w:rsid w:val="00AD6225"/>
    <w:rsid w:val="00AE2BFA"/>
    <w:rsid w:val="00B014FB"/>
    <w:rsid w:val="00B16F7F"/>
    <w:rsid w:val="00B3785E"/>
    <w:rsid w:val="00B46250"/>
    <w:rsid w:val="00B50F70"/>
    <w:rsid w:val="00B5544C"/>
    <w:rsid w:val="00B573A3"/>
    <w:rsid w:val="00B65EFE"/>
    <w:rsid w:val="00B725D6"/>
    <w:rsid w:val="00B8110F"/>
    <w:rsid w:val="00B83289"/>
    <w:rsid w:val="00B87069"/>
    <w:rsid w:val="00B9251C"/>
    <w:rsid w:val="00B95BEE"/>
    <w:rsid w:val="00BD03B7"/>
    <w:rsid w:val="00BD6E12"/>
    <w:rsid w:val="00BF20CC"/>
    <w:rsid w:val="00C45DDF"/>
    <w:rsid w:val="00C47E43"/>
    <w:rsid w:val="00C51E0A"/>
    <w:rsid w:val="00C74399"/>
    <w:rsid w:val="00C757E8"/>
    <w:rsid w:val="00CD5E7E"/>
    <w:rsid w:val="00CF4C94"/>
    <w:rsid w:val="00D005F7"/>
    <w:rsid w:val="00D21B22"/>
    <w:rsid w:val="00D2642A"/>
    <w:rsid w:val="00D46D95"/>
    <w:rsid w:val="00D62A1C"/>
    <w:rsid w:val="00D62C61"/>
    <w:rsid w:val="00D64851"/>
    <w:rsid w:val="00D73D02"/>
    <w:rsid w:val="00D8311F"/>
    <w:rsid w:val="00D835C5"/>
    <w:rsid w:val="00D970F3"/>
    <w:rsid w:val="00DA705D"/>
    <w:rsid w:val="00DC6AFE"/>
    <w:rsid w:val="00DD5BB3"/>
    <w:rsid w:val="00DE674C"/>
    <w:rsid w:val="00DF3B86"/>
    <w:rsid w:val="00E0551D"/>
    <w:rsid w:val="00E22536"/>
    <w:rsid w:val="00E4582E"/>
    <w:rsid w:val="00E50553"/>
    <w:rsid w:val="00E52B90"/>
    <w:rsid w:val="00E62F60"/>
    <w:rsid w:val="00E803E5"/>
    <w:rsid w:val="00EA6716"/>
    <w:rsid w:val="00EA7288"/>
    <w:rsid w:val="00EB39C3"/>
    <w:rsid w:val="00EB3A97"/>
    <w:rsid w:val="00EE3D83"/>
    <w:rsid w:val="00EF0CBA"/>
    <w:rsid w:val="00F10D72"/>
    <w:rsid w:val="00F1155D"/>
    <w:rsid w:val="00F14A6D"/>
    <w:rsid w:val="00F20D90"/>
    <w:rsid w:val="00F3170A"/>
    <w:rsid w:val="00F367FD"/>
    <w:rsid w:val="00F73622"/>
    <w:rsid w:val="00F879A3"/>
    <w:rsid w:val="00FA5E53"/>
    <w:rsid w:val="00FA65CB"/>
    <w:rsid w:val="00FB2030"/>
    <w:rsid w:val="00FC5BCB"/>
    <w:rsid w:val="00FD2B4C"/>
    <w:rsid w:val="00FF7B21"/>
    <w:rsid w:val="01089ECD"/>
    <w:rsid w:val="01C67DC0"/>
    <w:rsid w:val="03D22882"/>
    <w:rsid w:val="0419EEC4"/>
    <w:rsid w:val="04C242FA"/>
    <w:rsid w:val="053B7B30"/>
    <w:rsid w:val="05A7076F"/>
    <w:rsid w:val="061D0077"/>
    <w:rsid w:val="0623BA6D"/>
    <w:rsid w:val="0784954C"/>
    <w:rsid w:val="07F9E3BC"/>
    <w:rsid w:val="08A599A5"/>
    <w:rsid w:val="092065AD"/>
    <w:rsid w:val="096BDDC9"/>
    <w:rsid w:val="097C2EA0"/>
    <w:rsid w:val="0A3D646B"/>
    <w:rsid w:val="0A649339"/>
    <w:rsid w:val="0AA5EB7B"/>
    <w:rsid w:val="0B07AE2A"/>
    <w:rsid w:val="0B31275E"/>
    <w:rsid w:val="0BA21194"/>
    <w:rsid w:val="0BFA5DA2"/>
    <w:rsid w:val="0C58066F"/>
    <w:rsid w:val="0C7F3F2B"/>
    <w:rsid w:val="0CB3CF62"/>
    <w:rsid w:val="0CFCF390"/>
    <w:rsid w:val="0D61B334"/>
    <w:rsid w:val="0E26268F"/>
    <w:rsid w:val="0EB0933F"/>
    <w:rsid w:val="0EB59A56"/>
    <w:rsid w:val="0ECA8D66"/>
    <w:rsid w:val="0FEB7024"/>
    <w:rsid w:val="1064397E"/>
    <w:rsid w:val="113435ED"/>
    <w:rsid w:val="11E8F959"/>
    <w:rsid w:val="11EFB34F"/>
    <w:rsid w:val="11F6BC0B"/>
    <w:rsid w:val="1240A0F8"/>
    <w:rsid w:val="12546971"/>
    <w:rsid w:val="12F997B2"/>
    <w:rsid w:val="1310ECDC"/>
    <w:rsid w:val="133C3943"/>
    <w:rsid w:val="1416D3D9"/>
    <w:rsid w:val="14C2E6E2"/>
    <w:rsid w:val="157002A9"/>
    <w:rsid w:val="15892B06"/>
    <w:rsid w:val="15A71CD2"/>
    <w:rsid w:val="1673DA05"/>
    <w:rsid w:val="16CACFE2"/>
    <w:rsid w:val="16DF6B8B"/>
    <w:rsid w:val="170F2D09"/>
    <w:rsid w:val="176D3712"/>
    <w:rsid w:val="1813B001"/>
    <w:rsid w:val="185D526F"/>
    <w:rsid w:val="18C0CBC8"/>
    <w:rsid w:val="18F356D8"/>
    <w:rsid w:val="199E458B"/>
    <w:rsid w:val="1A4373CC"/>
    <w:rsid w:val="1A46CDCB"/>
    <w:rsid w:val="1A755BC3"/>
    <w:rsid w:val="1B3A15EC"/>
    <w:rsid w:val="1B6F86ED"/>
    <w:rsid w:val="1BACF46E"/>
    <w:rsid w:val="1BDF442D"/>
    <w:rsid w:val="1CD1E0B2"/>
    <w:rsid w:val="1DA7893D"/>
    <w:rsid w:val="1DC667C0"/>
    <w:rsid w:val="1E1EB3CE"/>
    <w:rsid w:val="1F300D4C"/>
    <w:rsid w:val="1FE8F75B"/>
    <w:rsid w:val="200A05D2"/>
    <w:rsid w:val="217BD8A1"/>
    <w:rsid w:val="2327F9D9"/>
    <w:rsid w:val="238B1F08"/>
    <w:rsid w:val="24011810"/>
    <w:rsid w:val="24140A8F"/>
    <w:rsid w:val="249F4459"/>
    <w:rsid w:val="24BE814B"/>
    <w:rsid w:val="258E13F9"/>
    <w:rsid w:val="25E1FFDB"/>
    <w:rsid w:val="261CFA05"/>
    <w:rsid w:val="2678C2F8"/>
    <w:rsid w:val="26CA8DDE"/>
    <w:rsid w:val="284819B9"/>
    <w:rsid w:val="28A2C43B"/>
    <w:rsid w:val="2903D6CE"/>
    <w:rsid w:val="29CA0F7A"/>
    <w:rsid w:val="2AA82C48"/>
    <w:rsid w:val="2BFD557D"/>
    <w:rsid w:val="2CEC0A17"/>
    <w:rsid w:val="2D1DE411"/>
    <w:rsid w:val="2DADD740"/>
    <w:rsid w:val="2DC6A4AD"/>
    <w:rsid w:val="2EC312E7"/>
    <w:rsid w:val="2FD27BD9"/>
    <w:rsid w:val="2FE759DF"/>
    <w:rsid w:val="30C8D91A"/>
    <w:rsid w:val="321FC66D"/>
    <w:rsid w:val="3264A97B"/>
    <w:rsid w:val="329CE5AD"/>
    <w:rsid w:val="32A44972"/>
    <w:rsid w:val="330A1C9B"/>
    <w:rsid w:val="334A10C4"/>
    <w:rsid w:val="335B4B9B"/>
    <w:rsid w:val="33847A75"/>
    <w:rsid w:val="3429F310"/>
    <w:rsid w:val="34E1301E"/>
    <w:rsid w:val="355A7F0F"/>
    <w:rsid w:val="3625AB25"/>
    <w:rsid w:val="367ED259"/>
    <w:rsid w:val="36E1F6C9"/>
    <w:rsid w:val="372F69B2"/>
    <w:rsid w:val="376D86F3"/>
    <w:rsid w:val="37D1380A"/>
    <w:rsid w:val="389F4454"/>
    <w:rsid w:val="38A988C6"/>
    <w:rsid w:val="38DE715C"/>
    <w:rsid w:val="397C408D"/>
    <w:rsid w:val="39B6731B"/>
    <w:rsid w:val="39CA8D1F"/>
    <w:rsid w:val="3A95849B"/>
    <w:rsid w:val="3AA527B5"/>
    <w:rsid w:val="3B47C682"/>
    <w:rsid w:val="3B52437C"/>
    <w:rsid w:val="3B665D80"/>
    <w:rsid w:val="3BE12988"/>
    <w:rsid w:val="3CC29A1D"/>
    <w:rsid w:val="3CC598E0"/>
    <w:rsid w:val="3D63D18C"/>
    <w:rsid w:val="3D7CF9E9"/>
    <w:rsid w:val="3E374A45"/>
    <w:rsid w:val="3F7898D8"/>
    <w:rsid w:val="4025B49F"/>
    <w:rsid w:val="4110639E"/>
    <w:rsid w:val="41C18500"/>
    <w:rsid w:val="426052EF"/>
    <w:rsid w:val="428FE22D"/>
    <w:rsid w:val="42969C23"/>
    <w:rsid w:val="43282DEB"/>
    <w:rsid w:val="44C1E5A8"/>
    <w:rsid w:val="4562F8BF"/>
    <w:rsid w:val="4694F623"/>
    <w:rsid w:val="47FE76C5"/>
    <w:rsid w:val="4872466F"/>
    <w:rsid w:val="487C79F1"/>
    <w:rsid w:val="491F7B1E"/>
    <w:rsid w:val="4926BA6D"/>
    <w:rsid w:val="4B6FBB3C"/>
    <w:rsid w:val="4B91E07A"/>
    <w:rsid w:val="4BE6127B"/>
    <w:rsid w:val="4C29612C"/>
    <w:rsid w:val="4C31214A"/>
    <w:rsid w:val="4D557870"/>
    <w:rsid w:val="4DEEE6A6"/>
    <w:rsid w:val="4DF2EC41"/>
    <w:rsid w:val="4E249891"/>
    <w:rsid w:val="4E93F8F9"/>
    <w:rsid w:val="4FB36BFF"/>
    <w:rsid w:val="520121FE"/>
    <w:rsid w:val="52D887E8"/>
    <w:rsid w:val="530314D9"/>
    <w:rsid w:val="5337DCB2"/>
    <w:rsid w:val="54F97B2E"/>
    <w:rsid w:val="55391FE0"/>
    <w:rsid w:val="553AF00D"/>
    <w:rsid w:val="5552494C"/>
    <w:rsid w:val="56AB19ED"/>
    <w:rsid w:val="576A6DF6"/>
    <w:rsid w:val="5849A7B7"/>
    <w:rsid w:val="59B06AF0"/>
    <w:rsid w:val="5A146C1E"/>
    <w:rsid w:val="5B00D633"/>
    <w:rsid w:val="5B6A8DB2"/>
    <w:rsid w:val="5BD38487"/>
    <w:rsid w:val="5C0A7560"/>
    <w:rsid w:val="5C1BC638"/>
    <w:rsid w:val="5C363526"/>
    <w:rsid w:val="5CD7E8E8"/>
    <w:rsid w:val="5EAB7708"/>
    <w:rsid w:val="5EEB9827"/>
    <w:rsid w:val="5F5B9EF2"/>
    <w:rsid w:val="5F7005B6"/>
    <w:rsid w:val="6009C1CB"/>
    <w:rsid w:val="607B7567"/>
    <w:rsid w:val="608739F7"/>
    <w:rsid w:val="609FCB01"/>
    <w:rsid w:val="61218827"/>
    <w:rsid w:val="6346125F"/>
    <w:rsid w:val="637F3667"/>
    <w:rsid w:val="64F97A07"/>
    <w:rsid w:val="66699E39"/>
    <w:rsid w:val="688ED1F2"/>
    <w:rsid w:val="69268DCC"/>
    <w:rsid w:val="6937A8AE"/>
    <w:rsid w:val="6A2E4ACE"/>
    <w:rsid w:val="6ABDAAB1"/>
    <w:rsid w:val="6B1C9EDE"/>
    <w:rsid w:val="6BCA1B2F"/>
    <w:rsid w:val="6D624315"/>
    <w:rsid w:val="6E349305"/>
    <w:rsid w:val="6F01BBF1"/>
    <w:rsid w:val="7061434E"/>
    <w:rsid w:val="70D3359B"/>
    <w:rsid w:val="711D93A9"/>
    <w:rsid w:val="71317FBC"/>
    <w:rsid w:val="7145F3DE"/>
    <w:rsid w:val="71A73D6B"/>
    <w:rsid w:val="73F8AA4A"/>
    <w:rsid w:val="74A3D489"/>
    <w:rsid w:val="7570FD75"/>
    <w:rsid w:val="7604F0DF"/>
    <w:rsid w:val="764A8406"/>
    <w:rsid w:val="778EC224"/>
    <w:rsid w:val="77DB754B"/>
    <w:rsid w:val="7825BE0F"/>
    <w:rsid w:val="783CBF9F"/>
    <w:rsid w:val="78F5FB37"/>
    <w:rsid w:val="7905479C"/>
    <w:rsid w:val="791124C0"/>
    <w:rsid w:val="7955B9FE"/>
    <w:rsid w:val="7976B2AB"/>
    <w:rsid w:val="7ACE30FA"/>
    <w:rsid w:val="7AF18A5F"/>
    <w:rsid w:val="7BCEE0D2"/>
    <w:rsid w:val="7CA2E150"/>
    <w:rsid w:val="7CDC2F76"/>
    <w:rsid w:val="7D47E414"/>
    <w:rsid w:val="7D6AD483"/>
    <w:rsid w:val="7D846697"/>
    <w:rsid w:val="7E5BB631"/>
    <w:rsid w:val="7EF9EAB2"/>
    <w:rsid w:val="7F6CCE6B"/>
    <w:rsid w:val="7FF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E3C9"/>
  <w15:docId w15:val="{482C7452-0FB2-40C9-8163-D76A6DC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1C67DC0"/>
  </w:style>
  <w:style w:type="paragraph" w:styleId="Heading1">
    <w:name w:val="heading 1"/>
    <w:basedOn w:val="Normal"/>
    <w:next w:val="Normal"/>
    <w:link w:val="Heading1Char"/>
    <w:uiPriority w:val="9"/>
    <w:qFormat/>
    <w:rsid w:val="01C6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1C67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1C67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1C67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1C67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1C67D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1C67D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1C67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1C67D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1C67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1C67DC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1C67DC0"/>
    <w:rPr>
      <w:rFonts w:ascii="Tahoma" w:eastAsiaTheme="minorEastAsia" w:hAnsi="Tahoma" w:cs="Tahoma"/>
      <w:noProof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516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516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52B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52B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52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E52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117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117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1C67D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1C67DC0"/>
    <w:rPr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1C67D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1C67DC0"/>
    <w:rPr>
      <w:noProof w:val="0"/>
      <w:lang w:val="en-US"/>
    </w:rPr>
  </w:style>
  <w:style w:type="paragraph" w:styleId="NoSpacing">
    <w:name w:val="No Spacing"/>
    <w:link w:val="NoSpacingChar"/>
    <w:uiPriority w:val="1"/>
    <w:qFormat/>
    <w:rsid w:val="006E60D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60D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1C67DC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1C67DC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1C67D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1C67DC0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1C67DC0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1C67DC0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1C67DC0"/>
    <w:rPr>
      <w:rFonts w:asciiTheme="majorHAnsi" w:eastAsiaTheme="majorEastAsia" w:hAnsiTheme="majorHAnsi" w:cstheme="majorBidi"/>
      <w:noProof w:val="0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1C67DC0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1C67DC0"/>
    <w:rPr>
      <w:rFonts w:asciiTheme="majorHAnsi" w:eastAsiaTheme="majorEastAsia" w:hAnsiTheme="majorHAnsi" w:cstheme="majorBidi"/>
      <w:noProof w:val="0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1C67DC0"/>
    <w:rPr>
      <w:rFonts w:asciiTheme="majorHAnsi" w:eastAsiaTheme="majorEastAsia" w:hAnsiTheme="majorHAnsi" w:cstheme="majorBidi"/>
      <w:noProof w:val="0"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1C67DC0"/>
    <w:rPr>
      <w:rFonts w:asciiTheme="majorHAnsi" w:eastAsiaTheme="majorEastAsia" w:hAnsiTheme="majorHAnsi" w:cstheme="majorBidi"/>
      <w:i/>
      <w:iCs/>
      <w:noProof w:val="0"/>
      <w:color w:val="243F6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1C67DC0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1C67DC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1C67DC0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1C67DC0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1C67DC0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1C67DC0"/>
    <w:rPr>
      <w:i/>
      <w:iCs/>
      <w:noProof w:val="0"/>
      <w:color w:val="4F81BD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01C67DC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1C67DC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1C67DC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1C67DC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1C67DC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1C67DC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1C67DC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1C67DC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1C67DC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1C67DC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1C67DC0"/>
    <w:rPr>
      <w:noProof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1C67D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1C67DC0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357DBD6A49D47A47203A6739B4599" ma:contentTypeVersion="9" ma:contentTypeDescription="Create a new document." ma:contentTypeScope="" ma:versionID="5a5802d3145f7095ced4b4b0bb542c18">
  <xsd:schema xmlns:xsd="http://www.w3.org/2001/XMLSchema" xmlns:xs="http://www.w3.org/2001/XMLSchema" xmlns:p="http://schemas.microsoft.com/office/2006/metadata/properties" xmlns:ns2="26240a98-51ee-4625-9c63-cc215ae67f01" xmlns:ns3="706c9825-4ccb-4819-9cd5-64ce097b2229" targetNamespace="http://schemas.microsoft.com/office/2006/metadata/properties" ma:root="true" ma:fieldsID="15990ae65c04cb6cbe8e750ef2a752d5" ns2:_="" ns3:_="">
    <xsd:import namespace="26240a98-51ee-4625-9c63-cc215ae67f01"/>
    <xsd:import namespace="706c9825-4ccb-4819-9cd5-64ce097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a98-51ee-4625-9c63-cc215ae6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9825-4ccb-4819-9cd5-64ce097b2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6c9825-4ccb-4819-9cd5-64ce097b2229">
      <UserInfo>
        <DisplayName>Jerome Deidesheimer</DisplayName>
        <AccountId>19</AccountId>
        <AccountType/>
      </UserInfo>
      <UserInfo>
        <DisplayName>Christopher Jones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8AA614-8946-47D9-9B0E-EC03D5576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BF021-34FE-4F95-91E7-9D539E49F3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90B1CF-1CCB-4D09-A6B1-1AAC1B84B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40a98-51ee-4625-9c63-cc215ae67f01"/>
    <ds:schemaRef ds:uri="706c9825-4ccb-4819-9cd5-64ce097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66CBE-1D7B-4C92-AA6F-99D72F2900BE}">
  <ds:schemaRefs>
    <ds:schemaRef ds:uri="http://schemas.microsoft.com/office/2006/metadata/properties"/>
    <ds:schemaRef ds:uri="http://schemas.microsoft.com/office/infopath/2007/PartnerControls"/>
    <ds:schemaRef ds:uri="706c9825-4ccb-4819-9cd5-64ce097b2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 Demasi</dc:creator>
  <cp:lastModifiedBy>Kathleen Schmidt</cp:lastModifiedBy>
  <cp:revision>2</cp:revision>
  <cp:lastPrinted>2021-02-09T18:47:00Z</cp:lastPrinted>
  <dcterms:created xsi:type="dcterms:W3CDTF">2023-12-05T14:05:00Z</dcterms:created>
  <dcterms:modified xsi:type="dcterms:W3CDTF">2023-12-05T14:05:00Z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0x010100267357DBD6A49D47A47203A6739B4599</vt:lpwstr>
  </property>
</Properties>
</file>